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B29" w:rsidRPr="00D40B29" w:rsidRDefault="000456DA" w:rsidP="00C53AA3">
      <w:pPr>
        <w:spacing w:after="0" w:line="360" w:lineRule="auto"/>
        <w:rPr>
          <w:rFonts w:ascii="Arial" w:hAnsi="Arial" w:cs="Arial"/>
          <w:u w:val="single"/>
          <w:lang w:val="en-US"/>
        </w:rPr>
      </w:pPr>
      <w:proofErr w:type="gramStart"/>
      <w:r w:rsidRPr="00D40B29">
        <w:rPr>
          <w:rFonts w:ascii="Arial" w:hAnsi="Arial" w:cs="Arial"/>
          <w:u w:val="single"/>
          <w:lang w:val="en-US"/>
        </w:rPr>
        <w:t>Sensitivity analysis using the date of front-line treatment as the start of follow-up.</w:t>
      </w:r>
      <w:proofErr w:type="gramEnd"/>
      <w:r w:rsidRPr="00D40B29">
        <w:rPr>
          <w:rFonts w:ascii="Arial" w:hAnsi="Arial" w:cs="Arial"/>
          <w:u w:val="single"/>
          <w:lang w:val="en-US"/>
        </w:rPr>
        <w:t xml:space="preserve"> </w:t>
      </w:r>
    </w:p>
    <w:p w:rsidR="00B5353B" w:rsidRPr="00D40B29" w:rsidRDefault="00D40B29" w:rsidP="00C53AA3">
      <w:pPr>
        <w:spacing w:after="0" w:line="360" w:lineRule="auto"/>
        <w:rPr>
          <w:rFonts w:ascii="Arial" w:hAnsi="Arial" w:cs="Arial"/>
          <w:sz w:val="20"/>
          <w:lang w:val="en-US"/>
        </w:rPr>
      </w:pPr>
      <w:r w:rsidRPr="00D40B29">
        <w:rPr>
          <w:rFonts w:ascii="Arial" w:hAnsi="Arial" w:cs="Arial"/>
          <w:i/>
          <w:sz w:val="20"/>
          <w:lang w:val="en-US"/>
        </w:rPr>
        <w:t>NB</w:t>
      </w:r>
      <w:r w:rsidRPr="00D40B29">
        <w:rPr>
          <w:rFonts w:ascii="Arial" w:hAnsi="Arial" w:cs="Arial"/>
          <w:sz w:val="20"/>
          <w:lang w:val="en-US"/>
        </w:rPr>
        <w:t>: f</w:t>
      </w:r>
      <w:r w:rsidR="000456DA" w:rsidRPr="00D40B29">
        <w:rPr>
          <w:rFonts w:ascii="Arial" w:hAnsi="Arial" w:cs="Arial"/>
          <w:sz w:val="20"/>
          <w:lang w:val="en-US"/>
        </w:rPr>
        <w:t>or patients who did not receive treatment, the date of diagnosis is the start of follow-up.</w:t>
      </w:r>
    </w:p>
    <w:p w:rsidR="00C53AA3" w:rsidRPr="00F566C4" w:rsidRDefault="00C53AA3" w:rsidP="00C53AA3">
      <w:pPr>
        <w:spacing w:after="0" w:line="360" w:lineRule="auto"/>
        <w:rPr>
          <w:rFonts w:ascii="Arial" w:hAnsi="Arial" w:cs="Arial"/>
          <w:lang w:val="en-US"/>
        </w:rPr>
      </w:pPr>
    </w:p>
    <w:p w:rsidR="000456DA" w:rsidRPr="00F566C4" w:rsidRDefault="000456DA" w:rsidP="00C53AA3">
      <w:pPr>
        <w:spacing w:after="0" w:line="360" w:lineRule="auto"/>
        <w:rPr>
          <w:rFonts w:ascii="Arial" w:hAnsi="Arial" w:cs="Arial"/>
          <w:lang w:val="en-US"/>
        </w:rPr>
      </w:pPr>
      <w:r w:rsidRPr="00D40B29">
        <w:rPr>
          <w:rFonts w:ascii="Arial" w:hAnsi="Arial" w:cs="Arial"/>
          <w:u w:val="single"/>
          <w:lang w:val="en-US"/>
        </w:rPr>
        <w:t>Cumulative incidence of solid cancers</w:t>
      </w:r>
      <w:r w:rsidRPr="00F566C4">
        <w:rPr>
          <w:rFonts w:ascii="Arial" w:hAnsi="Arial" w:cs="Arial"/>
          <w:lang w:val="en-US"/>
        </w:rPr>
        <w:t xml:space="preserve"> (4.4% at 5 years, 95%CI 3.1-5.9, solid line) and competing risk of death (16% at 5 years, 95%CI 13.6-18.5, broken line)</w:t>
      </w:r>
    </w:p>
    <w:p w:rsidR="00C53AA3" w:rsidRPr="00F566C4" w:rsidRDefault="00884D36" w:rsidP="00C53AA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eastAsia="es-ES"/>
        </w:rPr>
        <w:drawing>
          <wp:inline distT="0" distB="0" distL="0" distR="0">
            <wp:extent cx="4867275" cy="3536558"/>
            <wp:effectExtent l="0" t="0" r="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573" cy="3537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D36" w:rsidRDefault="00884D36" w:rsidP="00C53AA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lang w:val="en-US"/>
        </w:rPr>
      </w:pPr>
    </w:p>
    <w:p w:rsidR="00D40B29" w:rsidRDefault="00D40B2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p w:rsidR="000456DA" w:rsidRDefault="000456DA" w:rsidP="00C53AA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lang w:val="en-US"/>
        </w:rPr>
      </w:pPr>
      <w:r w:rsidRPr="00F566C4">
        <w:rPr>
          <w:rFonts w:ascii="Arial" w:hAnsi="Arial" w:cs="Arial"/>
          <w:lang w:val="en-US"/>
        </w:rPr>
        <w:lastRenderedPageBreak/>
        <w:t>Cumulative incidence of solid cancer and that of the competing risk of death based on front-line treatment.</w:t>
      </w:r>
    </w:p>
    <w:p w:rsidR="00F566C4" w:rsidRPr="00F566C4" w:rsidRDefault="00F566C4" w:rsidP="00C53AA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547"/>
        <w:gridCol w:w="1069"/>
        <w:gridCol w:w="1452"/>
        <w:gridCol w:w="840"/>
        <w:gridCol w:w="712"/>
        <w:gridCol w:w="1478"/>
        <w:gridCol w:w="910"/>
        <w:gridCol w:w="712"/>
      </w:tblGrid>
      <w:tr w:rsidR="00F566C4" w:rsidRPr="00F566C4" w:rsidTr="000456DA"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F566C4">
              <w:rPr>
                <w:rFonts w:ascii="Arial" w:hAnsi="Arial" w:cs="Arial"/>
                <w:sz w:val="18"/>
              </w:rPr>
              <w:t>Number</w:t>
            </w:r>
            <w:proofErr w:type="spellEnd"/>
            <w:r w:rsidRPr="00F566C4">
              <w:rPr>
                <w:rFonts w:ascii="Arial" w:hAnsi="Arial" w:cs="Arial"/>
                <w:sz w:val="18"/>
              </w:rPr>
              <w:t xml:space="preserve"> of </w:t>
            </w:r>
            <w:proofErr w:type="spellStart"/>
            <w:r w:rsidRPr="00F566C4">
              <w:rPr>
                <w:rFonts w:ascii="Arial" w:hAnsi="Arial" w:cs="Arial"/>
                <w:sz w:val="18"/>
              </w:rPr>
              <w:t>patients</w:t>
            </w:r>
            <w:proofErr w:type="spellEnd"/>
          </w:p>
        </w:tc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5-yr incidence of solid cancer (%)</w:t>
            </w:r>
            <w:r w:rsidRPr="00F566C4">
              <w:rPr>
                <w:rFonts w:ascii="Arial" w:hAnsi="Arial" w:cs="Arial"/>
                <w:sz w:val="18"/>
                <w:vertAlign w:val="superscript"/>
                <w:lang w:val="en-US"/>
              </w:rPr>
              <w:t>a</w:t>
            </w:r>
          </w:p>
        </w:tc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  <w:r w:rsidRPr="00F566C4">
              <w:rPr>
                <w:rFonts w:ascii="Arial" w:hAnsi="Arial" w:cs="Arial"/>
                <w:sz w:val="18"/>
              </w:rPr>
              <w:t>95% CI</w:t>
            </w:r>
          </w:p>
        </w:tc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  <w:r w:rsidRPr="00F566C4">
              <w:rPr>
                <w:rFonts w:ascii="Arial" w:hAnsi="Arial" w:cs="Arial"/>
                <w:sz w:val="18"/>
              </w:rPr>
              <w:t xml:space="preserve">P </w:t>
            </w:r>
            <w:proofErr w:type="spellStart"/>
            <w:r w:rsidRPr="00F566C4">
              <w:rPr>
                <w:rFonts w:ascii="Arial" w:hAnsi="Arial" w:cs="Arial"/>
                <w:sz w:val="18"/>
              </w:rPr>
              <w:t>value</w:t>
            </w:r>
            <w:proofErr w:type="spellEnd"/>
            <w:r w:rsidR="00C53AA3" w:rsidRPr="00F566C4">
              <w:rPr>
                <w:rFonts w:ascii="Arial" w:hAnsi="Arial" w:cs="Arial"/>
                <w:sz w:val="18"/>
                <w:vertAlign w:val="superscript"/>
                <w:lang w:val="en-US"/>
              </w:rPr>
              <w:t xml:space="preserve"> a</w:t>
            </w:r>
          </w:p>
        </w:tc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5-yr competing risk of death (%)</w:t>
            </w:r>
            <w:r w:rsidRPr="00F566C4">
              <w:rPr>
                <w:rFonts w:ascii="Arial" w:hAnsi="Arial" w:cs="Arial"/>
                <w:sz w:val="18"/>
                <w:vertAlign w:val="superscript"/>
                <w:lang w:val="en-US"/>
              </w:rPr>
              <w:t>b</w:t>
            </w:r>
          </w:p>
        </w:tc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  <w:r w:rsidRPr="00F566C4">
              <w:rPr>
                <w:rFonts w:ascii="Arial" w:hAnsi="Arial" w:cs="Arial"/>
                <w:sz w:val="18"/>
              </w:rPr>
              <w:t>95% CI</w:t>
            </w:r>
          </w:p>
        </w:tc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  <w:r w:rsidRPr="00F566C4">
              <w:rPr>
                <w:rFonts w:ascii="Arial" w:hAnsi="Arial" w:cs="Arial"/>
                <w:sz w:val="18"/>
              </w:rPr>
              <w:t xml:space="preserve">P </w:t>
            </w:r>
            <w:proofErr w:type="spellStart"/>
            <w:r w:rsidRPr="00F566C4">
              <w:rPr>
                <w:rFonts w:ascii="Arial" w:hAnsi="Arial" w:cs="Arial"/>
                <w:sz w:val="18"/>
              </w:rPr>
              <w:t>value</w:t>
            </w:r>
            <w:proofErr w:type="spellEnd"/>
            <w:r w:rsidR="00C53AA3" w:rsidRPr="00F566C4">
              <w:rPr>
                <w:rFonts w:ascii="Arial" w:hAnsi="Arial" w:cs="Arial"/>
                <w:sz w:val="18"/>
                <w:vertAlign w:val="superscript"/>
                <w:lang w:val="en-US"/>
              </w:rPr>
              <w:t xml:space="preserve"> b</w:t>
            </w:r>
          </w:p>
        </w:tc>
      </w:tr>
      <w:tr w:rsidR="00F566C4" w:rsidRPr="00F566C4" w:rsidTr="000456DA"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F566C4">
              <w:rPr>
                <w:rFonts w:ascii="Arial" w:hAnsi="Arial" w:cs="Arial"/>
                <w:sz w:val="18"/>
              </w:rPr>
              <w:t>Anthracycline-based</w:t>
            </w:r>
            <w:proofErr w:type="spellEnd"/>
          </w:p>
        </w:tc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  <w:r w:rsidRPr="00F566C4">
              <w:rPr>
                <w:rFonts w:ascii="Arial" w:hAnsi="Arial" w:cs="Arial"/>
                <w:sz w:val="18"/>
              </w:rPr>
              <w:t>581</w:t>
            </w:r>
          </w:p>
        </w:tc>
        <w:tc>
          <w:tcPr>
            <w:tcW w:w="0" w:type="auto"/>
          </w:tcPr>
          <w:p w:rsidR="000456DA" w:rsidRPr="00F566C4" w:rsidRDefault="00DC72A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  <w:r w:rsidRPr="00F566C4">
              <w:rPr>
                <w:rFonts w:ascii="Arial" w:hAnsi="Arial" w:cs="Arial"/>
                <w:sz w:val="18"/>
              </w:rPr>
              <w:t>3.3%</w:t>
            </w:r>
          </w:p>
        </w:tc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  <w:r w:rsidRPr="00F566C4">
              <w:rPr>
                <w:rFonts w:ascii="Arial" w:hAnsi="Arial" w:cs="Arial"/>
                <w:sz w:val="18"/>
              </w:rPr>
              <w:t>1.</w:t>
            </w:r>
            <w:r w:rsidR="00DC72AA" w:rsidRPr="00F566C4">
              <w:rPr>
                <w:rFonts w:ascii="Arial" w:hAnsi="Arial" w:cs="Arial"/>
                <w:sz w:val="18"/>
              </w:rPr>
              <w:t>9%-</w:t>
            </w:r>
            <w:r w:rsidRPr="00F566C4">
              <w:rPr>
                <w:rFonts w:ascii="Arial" w:hAnsi="Arial" w:cs="Arial"/>
                <w:sz w:val="18"/>
              </w:rPr>
              <w:t>5</w:t>
            </w:r>
            <w:r w:rsidR="00DC72AA" w:rsidRPr="00F566C4">
              <w:rPr>
                <w:rFonts w:ascii="Arial" w:hAnsi="Arial" w:cs="Arial"/>
                <w:sz w:val="18"/>
              </w:rPr>
              <w:t>.1</w:t>
            </w:r>
            <w:r w:rsidRPr="00F566C4">
              <w:rPr>
                <w:rFonts w:ascii="Arial" w:hAnsi="Arial" w:cs="Arial"/>
                <w:sz w:val="18"/>
              </w:rPr>
              <w:t>%</w:t>
            </w:r>
          </w:p>
        </w:tc>
        <w:tc>
          <w:tcPr>
            <w:tcW w:w="0" w:type="auto"/>
            <w:vMerge w:val="restart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  <w:r w:rsidRPr="00F566C4">
              <w:rPr>
                <w:rFonts w:ascii="Arial" w:hAnsi="Arial" w:cs="Arial"/>
                <w:sz w:val="18"/>
              </w:rPr>
              <w:t>0.09</w:t>
            </w:r>
          </w:p>
        </w:tc>
        <w:tc>
          <w:tcPr>
            <w:tcW w:w="0" w:type="auto"/>
          </w:tcPr>
          <w:p w:rsidR="000456DA" w:rsidRPr="00F566C4" w:rsidRDefault="00DC72A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  <w:r w:rsidRPr="00F566C4">
              <w:rPr>
                <w:rFonts w:ascii="Arial" w:hAnsi="Arial" w:cs="Arial"/>
                <w:sz w:val="18"/>
              </w:rPr>
              <w:t>14.5</w:t>
            </w:r>
            <w:r w:rsidR="000456DA" w:rsidRPr="00F566C4">
              <w:rPr>
                <w:rFonts w:ascii="Arial" w:hAnsi="Arial" w:cs="Arial"/>
                <w:sz w:val="18"/>
              </w:rPr>
              <w:t>%</w:t>
            </w:r>
          </w:p>
        </w:tc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  <w:r w:rsidRPr="00F566C4">
              <w:rPr>
                <w:rFonts w:ascii="Arial" w:hAnsi="Arial" w:cs="Arial"/>
                <w:sz w:val="18"/>
              </w:rPr>
              <w:t>11.</w:t>
            </w:r>
            <w:r w:rsidR="00DC72AA" w:rsidRPr="00F566C4">
              <w:rPr>
                <w:rFonts w:ascii="Arial" w:hAnsi="Arial" w:cs="Arial"/>
                <w:sz w:val="18"/>
              </w:rPr>
              <w:t>6</w:t>
            </w:r>
            <w:r w:rsidRPr="00F566C4">
              <w:rPr>
                <w:rFonts w:ascii="Arial" w:hAnsi="Arial" w:cs="Arial"/>
                <w:sz w:val="18"/>
              </w:rPr>
              <w:t>%-17.</w:t>
            </w:r>
            <w:r w:rsidR="00DC72AA" w:rsidRPr="00F566C4">
              <w:rPr>
                <w:rFonts w:ascii="Arial" w:hAnsi="Arial" w:cs="Arial"/>
                <w:sz w:val="18"/>
              </w:rPr>
              <w:t>7</w:t>
            </w:r>
            <w:r w:rsidRPr="00F566C4">
              <w:rPr>
                <w:rFonts w:ascii="Arial" w:hAnsi="Arial" w:cs="Arial"/>
                <w:sz w:val="18"/>
              </w:rPr>
              <w:t>%</w:t>
            </w:r>
          </w:p>
        </w:tc>
        <w:tc>
          <w:tcPr>
            <w:tcW w:w="0" w:type="auto"/>
            <w:vMerge w:val="restart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  <w:r w:rsidRPr="00F566C4">
              <w:rPr>
                <w:rFonts w:ascii="Arial" w:hAnsi="Arial" w:cs="Arial"/>
                <w:sz w:val="18"/>
              </w:rPr>
              <w:t>0.02</w:t>
            </w:r>
          </w:p>
        </w:tc>
      </w:tr>
      <w:tr w:rsidR="00F566C4" w:rsidRPr="00F566C4" w:rsidTr="000456DA"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  <w:r w:rsidRPr="00F566C4">
              <w:rPr>
                <w:rFonts w:ascii="Arial" w:hAnsi="Arial" w:cs="Arial"/>
                <w:sz w:val="18"/>
              </w:rPr>
              <w:t>Bendamustine-</w:t>
            </w:r>
            <w:proofErr w:type="spellStart"/>
            <w:r w:rsidRPr="00F566C4">
              <w:rPr>
                <w:rFonts w:ascii="Arial" w:hAnsi="Arial" w:cs="Arial"/>
                <w:sz w:val="18"/>
              </w:rPr>
              <w:t>based</w:t>
            </w:r>
            <w:proofErr w:type="spellEnd"/>
          </w:p>
        </w:tc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  <w:r w:rsidRPr="00F566C4">
              <w:rPr>
                <w:rFonts w:ascii="Arial" w:hAnsi="Arial" w:cs="Arial"/>
                <w:sz w:val="18"/>
              </w:rPr>
              <w:t>60</w:t>
            </w:r>
          </w:p>
        </w:tc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  <w:r w:rsidRPr="00F566C4">
              <w:rPr>
                <w:rFonts w:ascii="Arial" w:hAnsi="Arial" w:cs="Arial"/>
                <w:sz w:val="18"/>
              </w:rPr>
              <w:t>9%</w:t>
            </w:r>
          </w:p>
        </w:tc>
        <w:tc>
          <w:tcPr>
            <w:tcW w:w="0" w:type="auto"/>
          </w:tcPr>
          <w:p w:rsidR="000456DA" w:rsidRPr="00F566C4" w:rsidRDefault="00DC72A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  <w:r w:rsidRPr="00F566C4">
              <w:rPr>
                <w:rFonts w:ascii="Arial" w:hAnsi="Arial" w:cs="Arial"/>
                <w:sz w:val="18"/>
              </w:rPr>
              <w:t>2</w:t>
            </w:r>
            <w:r w:rsidR="000456DA" w:rsidRPr="00F566C4">
              <w:rPr>
                <w:rFonts w:ascii="Arial" w:hAnsi="Arial" w:cs="Arial"/>
                <w:sz w:val="18"/>
              </w:rPr>
              <w:t>.6%-</w:t>
            </w:r>
            <w:r w:rsidRPr="00F566C4">
              <w:rPr>
                <w:rFonts w:ascii="Arial" w:hAnsi="Arial" w:cs="Arial"/>
                <w:sz w:val="18"/>
              </w:rPr>
              <w:t>20.5</w:t>
            </w:r>
            <w:r w:rsidR="000456DA" w:rsidRPr="00F566C4">
              <w:rPr>
                <w:rFonts w:ascii="Arial" w:hAnsi="Arial" w:cs="Arial"/>
                <w:sz w:val="18"/>
              </w:rPr>
              <w:t>%</w:t>
            </w:r>
          </w:p>
        </w:tc>
        <w:tc>
          <w:tcPr>
            <w:tcW w:w="0" w:type="auto"/>
            <w:vMerge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</w:tcPr>
          <w:p w:rsidR="000456DA" w:rsidRPr="00F566C4" w:rsidRDefault="00DC72A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  <w:r w:rsidRPr="00F566C4">
              <w:rPr>
                <w:rFonts w:ascii="Arial" w:hAnsi="Arial" w:cs="Arial"/>
                <w:sz w:val="18"/>
              </w:rPr>
              <w:t>20.9</w:t>
            </w:r>
            <w:r w:rsidR="000456DA" w:rsidRPr="00F566C4">
              <w:rPr>
                <w:rFonts w:ascii="Arial" w:hAnsi="Arial" w:cs="Arial"/>
                <w:sz w:val="18"/>
              </w:rPr>
              <w:t>%</w:t>
            </w:r>
          </w:p>
        </w:tc>
        <w:tc>
          <w:tcPr>
            <w:tcW w:w="0" w:type="auto"/>
          </w:tcPr>
          <w:p w:rsidR="000456DA" w:rsidRPr="00F566C4" w:rsidRDefault="00DC72A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9.7</w:t>
            </w:r>
            <w:r w:rsidR="000456DA" w:rsidRPr="00F566C4">
              <w:rPr>
                <w:rFonts w:ascii="Arial" w:hAnsi="Arial" w:cs="Arial"/>
                <w:sz w:val="18"/>
                <w:lang w:val="en-US"/>
              </w:rPr>
              <w:t>%-3</w:t>
            </w:r>
            <w:r w:rsidRPr="00F566C4">
              <w:rPr>
                <w:rFonts w:ascii="Arial" w:hAnsi="Arial" w:cs="Arial"/>
                <w:sz w:val="18"/>
                <w:lang w:val="en-US"/>
              </w:rPr>
              <w:t>4.9</w:t>
            </w:r>
            <w:r w:rsidR="000456DA" w:rsidRPr="00F566C4">
              <w:rPr>
                <w:rFonts w:ascii="Arial" w:hAnsi="Arial" w:cs="Arial"/>
                <w:sz w:val="18"/>
                <w:lang w:val="en-US"/>
              </w:rPr>
              <w:t>%</w:t>
            </w:r>
          </w:p>
        </w:tc>
        <w:tc>
          <w:tcPr>
            <w:tcW w:w="0" w:type="auto"/>
            <w:vMerge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F566C4" w:rsidRPr="00F566C4" w:rsidTr="000456DA"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Alkylator-based</w:t>
            </w:r>
          </w:p>
        </w:tc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109</w:t>
            </w:r>
          </w:p>
        </w:tc>
        <w:tc>
          <w:tcPr>
            <w:tcW w:w="0" w:type="auto"/>
          </w:tcPr>
          <w:p w:rsidR="000456DA" w:rsidRPr="00F566C4" w:rsidRDefault="00DC72A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4.3</w:t>
            </w:r>
            <w:r w:rsidR="000456DA" w:rsidRPr="00F566C4">
              <w:rPr>
                <w:rFonts w:ascii="Arial" w:hAnsi="Arial" w:cs="Arial"/>
                <w:sz w:val="18"/>
                <w:lang w:val="en-US"/>
              </w:rPr>
              <w:t>%</w:t>
            </w:r>
          </w:p>
        </w:tc>
        <w:tc>
          <w:tcPr>
            <w:tcW w:w="0" w:type="auto"/>
          </w:tcPr>
          <w:p w:rsidR="000456DA" w:rsidRPr="00F566C4" w:rsidRDefault="00DC72A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1.4%-9.8</w:t>
            </w:r>
            <w:r w:rsidR="000456DA" w:rsidRPr="00F566C4">
              <w:rPr>
                <w:rFonts w:ascii="Arial" w:hAnsi="Arial" w:cs="Arial"/>
                <w:sz w:val="18"/>
                <w:lang w:val="en-US"/>
              </w:rPr>
              <w:t>%</w:t>
            </w:r>
          </w:p>
        </w:tc>
        <w:tc>
          <w:tcPr>
            <w:tcW w:w="0" w:type="auto"/>
            <w:vMerge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2</w:t>
            </w:r>
            <w:r w:rsidR="00DC72AA" w:rsidRPr="00F566C4">
              <w:rPr>
                <w:rFonts w:ascii="Arial" w:hAnsi="Arial" w:cs="Arial"/>
                <w:sz w:val="18"/>
                <w:lang w:val="en-US"/>
              </w:rPr>
              <w:t>9.1</w:t>
            </w:r>
            <w:r w:rsidRPr="00F566C4">
              <w:rPr>
                <w:rFonts w:ascii="Arial" w:hAnsi="Arial" w:cs="Arial"/>
                <w:sz w:val="18"/>
                <w:lang w:val="en-US"/>
              </w:rPr>
              <w:t>%</w:t>
            </w:r>
          </w:p>
        </w:tc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20.</w:t>
            </w:r>
            <w:r w:rsidR="00DC72AA" w:rsidRPr="00F566C4">
              <w:rPr>
                <w:rFonts w:ascii="Arial" w:hAnsi="Arial" w:cs="Arial"/>
                <w:sz w:val="18"/>
                <w:lang w:val="en-US"/>
              </w:rPr>
              <w:t>3%-38.5</w:t>
            </w:r>
            <w:r w:rsidRPr="00F566C4">
              <w:rPr>
                <w:rFonts w:ascii="Arial" w:hAnsi="Arial" w:cs="Arial"/>
                <w:sz w:val="18"/>
                <w:lang w:val="en-US"/>
              </w:rPr>
              <w:t>%</w:t>
            </w:r>
          </w:p>
        </w:tc>
        <w:tc>
          <w:tcPr>
            <w:tcW w:w="0" w:type="auto"/>
            <w:vMerge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F566C4" w:rsidRPr="00F566C4" w:rsidTr="000456DA"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Radiotherapy alone</w:t>
            </w:r>
          </w:p>
        </w:tc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105</w:t>
            </w:r>
          </w:p>
        </w:tc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5.</w:t>
            </w:r>
            <w:r w:rsidR="00DC72AA" w:rsidRPr="00F566C4">
              <w:rPr>
                <w:rFonts w:ascii="Arial" w:hAnsi="Arial" w:cs="Arial"/>
                <w:sz w:val="18"/>
                <w:lang w:val="en-US"/>
              </w:rPr>
              <w:t>7</w:t>
            </w:r>
            <w:r w:rsidRPr="00F566C4">
              <w:rPr>
                <w:rFonts w:ascii="Arial" w:hAnsi="Arial" w:cs="Arial"/>
                <w:sz w:val="18"/>
                <w:lang w:val="en-US"/>
              </w:rPr>
              <w:t>%</w:t>
            </w:r>
          </w:p>
        </w:tc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2.1%-11.</w:t>
            </w:r>
            <w:r w:rsidR="00DC72AA" w:rsidRPr="00F566C4">
              <w:rPr>
                <w:rFonts w:ascii="Arial" w:hAnsi="Arial" w:cs="Arial"/>
                <w:sz w:val="18"/>
                <w:lang w:val="en-US"/>
              </w:rPr>
              <w:t>9</w:t>
            </w:r>
            <w:r w:rsidRPr="00F566C4">
              <w:rPr>
                <w:rFonts w:ascii="Arial" w:hAnsi="Arial" w:cs="Arial"/>
                <w:sz w:val="18"/>
                <w:lang w:val="en-US"/>
              </w:rPr>
              <w:t>%</w:t>
            </w:r>
          </w:p>
        </w:tc>
        <w:tc>
          <w:tcPr>
            <w:tcW w:w="0" w:type="auto"/>
            <w:vMerge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1</w:t>
            </w:r>
            <w:r w:rsidR="00DC72AA" w:rsidRPr="00F566C4">
              <w:rPr>
                <w:rFonts w:ascii="Arial" w:hAnsi="Arial" w:cs="Arial"/>
                <w:sz w:val="18"/>
                <w:lang w:val="en-US"/>
              </w:rPr>
              <w:t>1.8</w:t>
            </w:r>
            <w:r w:rsidRPr="00F566C4">
              <w:rPr>
                <w:rFonts w:ascii="Arial" w:hAnsi="Arial" w:cs="Arial"/>
                <w:sz w:val="18"/>
                <w:lang w:val="en-US"/>
              </w:rPr>
              <w:t>%</w:t>
            </w:r>
          </w:p>
        </w:tc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6.</w:t>
            </w:r>
            <w:r w:rsidR="00DC72AA" w:rsidRPr="00F566C4">
              <w:rPr>
                <w:rFonts w:ascii="Arial" w:hAnsi="Arial" w:cs="Arial"/>
                <w:sz w:val="18"/>
                <w:lang w:val="en-US"/>
              </w:rPr>
              <w:t>2</w:t>
            </w:r>
            <w:r w:rsidRPr="00F566C4">
              <w:rPr>
                <w:rFonts w:ascii="Arial" w:hAnsi="Arial" w:cs="Arial"/>
                <w:sz w:val="18"/>
                <w:lang w:val="en-US"/>
              </w:rPr>
              <w:t>%-19.</w:t>
            </w:r>
            <w:r w:rsidR="00DC72AA" w:rsidRPr="00F566C4">
              <w:rPr>
                <w:rFonts w:ascii="Arial" w:hAnsi="Arial" w:cs="Arial"/>
                <w:sz w:val="18"/>
                <w:lang w:val="en-US"/>
              </w:rPr>
              <w:t>4</w:t>
            </w:r>
            <w:r w:rsidRPr="00F566C4">
              <w:rPr>
                <w:rFonts w:ascii="Arial" w:hAnsi="Arial" w:cs="Arial"/>
                <w:sz w:val="18"/>
                <w:lang w:val="en-US"/>
              </w:rPr>
              <w:t>%</w:t>
            </w:r>
          </w:p>
        </w:tc>
        <w:tc>
          <w:tcPr>
            <w:tcW w:w="0" w:type="auto"/>
            <w:vMerge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F566C4" w:rsidRPr="00F566C4" w:rsidTr="000456DA"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Other*</w:t>
            </w:r>
          </w:p>
        </w:tc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147</w:t>
            </w:r>
          </w:p>
        </w:tc>
        <w:tc>
          <w:tcPr>
            <w:tcW w:w="0" w:type="auto"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6</w:t>
            </w:r>
            <w:r w:rsidRPr="00F566C4">
              <w:rPr>
                <w:rFonts w:ascii="Arial" w:hAnsi="Arial" w:cs="Arial"/>
                <w:sz w:val="18"/>
              </w:rPr>
              <w:t>.</w:t>
            </w:r>
            <w:r w:rsidR="00DC72AA" w:rsidRPr="00F566C4">
              <w:rPr>
                <w:rFonts w:ascii="Arial" w:hAnsi="Arial" w:cs="Arial"/>
                <w:sz w:val="18"/>
              </w:rPr>
              <w:t>5</w:t>
            </w:r>
            <w:r w:rsidRPr="00F566C4">
              <w:rPr>
                <w:rFonts w:ascii="Arial" w:hAnsi="Arial" w:cs="Arial"/>
                <w:sz w:val="18"/>
              </w:rPr>
              <w:t>%</w:t>
            </w:r>
          </w:p>
        </w:tc>
        <w:tc>
          <w:tcPr>
            <w:tcW w:w="0" w:type="auto"/>
          </w:tcPr>
          <w:p w:rsidR="000456DA" w:rsidRPr="00F566C4" w:rsidRDefault="00DC72A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  <w:r w:rsidRPr="00F566C4">
              <w:rPr>
                <w:rFonts w:ascii="Arial" w:hAnsi="Arial" w:cs="Arial"/>
                <w:sz w:val="18"/>
              </w:rPr>
              <w:t>3</w:t>
            </w:r>
            <w:r w:rsidR="000456DA" w:rsidRPr="00F566C4">
              <w:rPr>
                <w:rFonts w:ascii="Arial" w:hAnsi="Arial" w:cs="Arial"/>
                <w:sz w:val="18"/>
              </w:rPr>
              <w:t>%-11.</w:t>
            </w:r>
            <w:r w:rsidRPr="00F566C4">
              <w:rPr>
                <w:rFonts w:ascii="Arial" w:hAnsi="Arial" w:cs="Arial"/>
                <w:sz w:val="18"/>
              </w:rPr>
              <w:t>9</w:t>
            </w:r>
            <w:r w:rsidR="000456DA" w:rsidRPr="00F566C4">
              <w:rPr>
                <w:rFonts w:ascii="Arial" w:hAnsi="Arial" w:cs="Arial"/>
                <w:sz w:val="18"/>
              </w:rPr>
              <w:t>%</w:t>
            </w:r>
          </w:p>
        </w:tc>
        <w:tc>
          <w:tcPr>
            <w:tcW w:w="0" w:type="auto"/>
            <w:vMerge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</w:tcPr>
          <w:p w:rsidR="000456DA" w:rsidRPr="00F566C4" w:rsidRDefault="00DC72A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  <w:r w:rsidRPr="00F566C4">
              <w:rPr>
                <w:rFonts w:ascii="Arial" w:hAnsi="Arial" w:cs="Arial"/>
                <w:sz w:val="18"/>
              </w:rPr>
              <w:t>13.3</w:t>
            </w:r>
            <w:r w:rsidR="000456DA" w:rsidRPr="00F566C4">
              <w:rPr>
                <w:rFonts w:ascii="Arial" w:hAnsi="Arial" w:cs="Arial"/>
                <w:sz w:val="18"/>
              </w:rPr>
              <w:t>%</w:t>
            </w:r>
          </w:p>
        </w:tc>
        <w:tc>
          <w:tcPr>
            <w:tcW w:w="0" w:type="auto"/>
          </w:tcPr>
          <w:p w:rsidR="000456DA" w:rsidRPr="00F566C4" w:rsidRDefault="00DC72AA" w:rsidP="00C53AA3">
            <w:pPr>
              <w:spacing w:after="0" w:line="360" w:lineRule="auto"/>
              <w:jc w:val="both"/>
              <w:rPr>
                <w:rFonts w:ascii="Arial" w:hAnsi="Arial" w:cs="Arial"/>
                <w:sz w:val="18"/>
              </w:rPr>
            </w:pPr>
            <w:r w:rsidRPr="00F566C4">
              <w:rPr>
                <w:rFonts w:ascii="Arial" w:hAnsi="Arial" w:cs="Arial"/>
                <w:sz w:val="18"/>
              </w:rPr>
              <w:t>8</w:t>
            </w:r>
            <w:r w:rsidR="000456DA" w:rsidRPr="00F566C4">
              <w:rPr>
                <w:rFonts w:ascii="Arial" w:hAnsi="Arial" w:cs="Arial"/>
                <w:sz w:val="18"/>
              </w:rPr>
              <w:t>%-19.</w:t>
            </w:r>
            <w:r w:rsidRPr="00F566C4">
              <w:rPr>
                <w:rFonts w:ascii="Arial" w:hAnsi="Arial" w:cs="Arial"/>
                <w:sz w:val="18"/>
              </w:rPr>
              <w:t>9</w:t>
            </w:r>
            <w:r w:rsidR="000456DA" w:rsidRPr="00F566C4">
              <w:rPr>
                <w:rFonts w:ascii="Arial" w:hAnsi="Arial" w:cs="Arial"/>
                <w:sz w:val="18"/>
              </w:rPr>
              <w:t>%</w:t>
            </w:r>
          </w:p>
        </w:tc>
        <w:tc>
          <w:tcPr>
            <w:tcW w:w="0" w:type="auto"/>
            <w:vMerge/>
          </w:tcPr>
          <w:p w:rsidR="000456DA" w:rsidRPr="00F566C4" w:rsidRDefault="000456DA" w:rsidP="00C53AA3">
            <w:pPr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DC72AA" w:rsidRPr="00F566C4" w:rsidRDefault="00DC72AA" w:rsidP="00C53AA3">
      <w:pPr>
        <w:spacing w:after="0" w:line="360" w:lineRule="auto"/>
        <w:jc w:val="both"/>
        <w:rPr>
          <w:rFonts w:ascii="Arial" w:hAnsi="Arial" w:cs="Arial"/>
          <w:lang w:val="en-US"/>
        </w:rPr>
      </w:pPr>
      <w:proofErr w:type="gramStart"/>
      <w:r w:rsidRPr="00F566C4">
        <w:rPr>
          <w:rFonts w:ascii="Arial" w:hAnsi="Arial" w:cs="Arial"/>
          <w:vertAlign w:val="superscript"/>
          <w:lang w:val="en-US"/>
        </w:rPr>
        <w:t>a</w:t>
      </w:r>
      <w:r w:rsidRPr="00F566C4">
        <w:rPr>
          <w:rFonts w:ascii="Arial" w:hAnsi="Arial" w:cs="Arial"/>
          <w:lang w:val="en-US"/>
        </w:rPr>
        <w:t>p</w:t>
      </w:r>
      <w:proofErr w:type="gramEnd"/>
      <w:r w:rsidRPr="00F566C4">
        <w:rPr>
          <w:rFonts w:ascii="Arial" w:hAnsi="Arial" w:cs="Arial"/>
          <w:lang w:val="en-US"/>
        </w:rPr>
        <w:t xml:space="preserve"> value resulting from the comparison of anthracycline- vs. bendamustine-based strategies = 0.02</w:t>
      </w:r>
    </w:p>
    <w:p w:rsidR="00DC72AA" w:rsidRPr="00F566C4" w:rsidRDefault="00DC72AA" w:rsidP="00C53AA3">
      <w:pPr>
        <w:spacing w:after="0" w:line="360" w:lineRule="auto"/>
        <w:jc w:val="both"/>
        <w:rPr>
          <w:rFonts w:ascii="Arial" w:hAnsi="Arial" w:cs="Arial"/>
          <w:lang w:val="en-US"/>
        </w:rPr>
      </w:pPr>
      <w:proofErr w:type="gramStart"/>
      <w:r w:rsidRPr="00F566C4">
        <w:rPr>
          <w:rFonts w:ascii="Arial" w:hAnsi="Arial" w:cs="Arial"/>
          <w:vertAlign w:val="superscript"/>
          <w:lang w:val="en-US"/>
        </w:rPr>
        <w:t>b</w:t>
      </w:r>
      <w:r w:rsidRPr="00F566C4">
        <w:rPr>
          <w:rFonts w:ascii="Arial" w:hAnsi="Arial" w:cs="Arial"/>
          <w:lang w:val="en-US"/>
        </w:rPr>
        <w:t>p</w:t>
      </w:r>
      <w:proofErr w:type="gramEnd"/>
      <w:r w:rsidRPr="00F566C4">
        <w:rPr>
          <w:rFonts w:ascii="Arial" w:hAnsi="Arial" w:cs="Arial"/>
          <w:lang w:val="en-US"/>
        </w:rPr>
        <w:t xml:space="preserve"> value resulting from the comparison of anthracycline- vs. bendamustine-based strategies = 0.07</w:t>
      </w:r>
      <w:r w:rsidR="00A30EE5" w:rsidRPr="00F566C4">
        <w:rPr>
          <w:rFonts w:ascii="Arial" w:hAnsi="Arial" w:cs="Arial"/>
          <w:lang w:val="en-US"/>
        </w:rPr>
        <w:t>.</w:t>
      </w:r>
    </w:p>
    <w:p w:rsidR="00A30EE5" w:rsidRPr="00F566C4" w:rsidRDefault="00A30EE5" w:rsidP="00C53AA3">
      <w:pPr>
        <w:spacing w:after="0" w:line="360" w:lineRule="auto"/>
        <w:jc w:val="both"/>
        <w:rPr>
          <w:rFonts w:ascii="Arial" w:hAnsi="Arial" w:cs="Arial"/>
          <w:lang w:val="en-US"/>
        </w:rPr>
      </w:pPr>
    </w:p>
    <w:p w:rsidR="00D40B29" w:rsidRDefault="00D40B29">
      <w:pPr>
        <w:rPr>
          <w:rFonts w:ascii="Arial" w:hAnsi="Arial" w:cs="Arial"/>
        </w:rPr>
      </w:pPr>
    </w:p>
    <w:p w:rsidR="00F566C4" w:rsidRPr="00F566C4" w:rsidRDefault="00F566C4" w:rsidP="00F566C4">
      <w:pPr>
        <w:spacing w:line="360" w:lineRule="auto"/>
        <w:jc w:val="both"/>
        <w:rPr>
          <w:rFonts w:ascii="Arial" w:hAnsi="Arial" w:cs="Arial"/>
        </w:rPr>
      </w:pPr>
      <w:proofErr w:type="spellStart"/>
      <w:r w:rsidRPr="00F566C4">
        <w:rPr>
          <w:rFonts w:ascii="Arial" w:hAnsi="Arial" w:cs="Arial"/>
        </w:rPr>
        <w:t>Age</w:t>
      </w:r>
      <w:proofErr w:type="spellEnd"/>
      <w:r w:rsidRPr="00F566C4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988"/>
        <w:gridCol w:w="1270"/>
        <w:gridCol w:w="1134"/>
        <w:gridCol w:w="1985"/>
        <w:gridCol w:w="1984"/>
      </w:tblGrid>
      <w:tr w:rsidR="00F566C4" w:rsidRPr="00F566C4" w:rsidTr="00F566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Number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 xml:space="preserve">Median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6C4" w:rsidRPr="00F566C4" w:rsidRDefault="00884D36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Interquartile </w:t>
            </w:r>
            <w:r w:rsidR="00F566C4" w:rsidRPr="00F566C4">
              <w:rPr>
                <w:rFonts w:ascii="Arial" w:hAnsi="Arial" w:cs="Arial"/>
                <w:sz w:val="18"/>
                <w:lang w:val="en-US"/>
              </w:rPr>
              <w:t>Range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eastAsia="Arial" w:hAnsi="Arial" w:cs="Arial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P value</w:t>
            </w:r>
          </w:p>
        </w:tc>
      </w:tr>
      <w:tr w:rsidR="00F566C4" w:rsidRPr="00F566C4" w:rsidTr="00F566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Anthracycline-treated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6C4" w:rsidRPr="00F566C4" w:rsidRDefault="00884D36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6C4" w:rsidRPr="00F566C4" w:rsidRDefault="00884D36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6C4" w:rsidRPr="00F566C4" w:rsidRDefault="00884D36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49-65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66C4" w:rsidRPr="00F566C4" w:rsidRDefault="00884D36" w:rsidP="00A82562">
            <w:pPr>
              <w:spacing w:line="360" w:lineRule="auto"/>
              <w:jc w:val="both"/>
              <w:rPr>
                <w:rFonts w:ascii="Arial" w:eastAsia="Arial" w:hAnsi="Arial" w:cs="Arial"/>
                <w:lang w:val="en-US"/>
              </w:rPr>
            </w:pPr>
            <w:r>
              <w:rPr>
                <w:rFonts w:ascii="Arial" w:eastAsia="Arial" w:hAnsi="Arial" w:cs="Arial"/>
                <w:lang w:val="en-US"/>
              </w:rPr>
              <w:t>&lt;0.0001</w:t>
            </w:r>
          </w:p>
        </w:tc>
      </w:tr>
      <w:tr w:rsidR="00F566C4" w:rsidRPr="00F566C4" w:rsidTr="00F566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Bendamustine-treated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6C4" w:rsidRPr="00F566C4" w:rsidRDefault="00884D36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6C4" w:rsidRPr="00F566C4" w:rsidRDefault="00884D36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65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6C4" w:rsidRPr="00F566C4" w:rsidRDefault="00884D36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58-73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6C4" w:rsidRPr="00F566C4" w:rsidRDefault="00F566C4" w:rsidP="00A82562">
            <w:pPr>
              <w:spacing w:line="360" w:lineRule="auto"/>
              <w:jc w:val="both"/>
              <w:rPr>
                <w:rFonts w:ascii="Arial" w:eastAsia="Arial" w:hAnsi="Arial" w:cs="Arial"/>
                <w:lang w:val="en-US"/>
              </w:rPr>
            </w:pPr>
          </w:p>
        </w:tc>
      </w:tr>
    </w:tbl>
    <w:p w:rsidR="00F566C4" w:rsidRPr="00F566C4" w:rsidRDefault="00F566C4" w:rsidP="00F566C4">
      <w:pPr>
        <w:spacing w:line="360" w:lineRule="auto"/>
        <w:jc w:val="both"/>
        <w:rPr>
          <w:rFonts w:ascii="Arial" w:hAnsi="Arial" w:cs="Arial"/>
        </w:rPr>
      </w:pPr>
    </w:p>
    <w:p w:rsidR="00D40B29" w:rsidRDefault="00D40B2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p w:rsidR="00D40B29" w:rsidRPr="00D40B29" w:rsidRDefault="00D40B29" w:rsidP="00F566C4">
      <w:pPr>
        <w:spacing w:after="0" w:line="360" w:lineRule="auto"/>
        <w:rPr>
          <w:rFonts w:ascii="Arial" w:hAnsi="Arial" w:cs="Arial"/>
          <w:u w:val="single"/>
          <w:lang w:val="en-US"/>
        </w:rPr>
      </w:pPr>
      <w:proofErr w:type="spellStart"/>
      <w:r w:rsidRPr="00D40B29">
        <w:rPr>
          <w:rFonts w:ascii="Arial" w:hAnsi="Arial" w:cs="Arial"/>
          <w:u w:val="single"/>
          <w:lang w:val="en-US"/>
        </w:rPr>
        <w:lastRenderedPageBreak/>
        <w:t>Anthracycline</w:t>
      </w:r>
      <w:proofErr w:type="spellEnd"/>
      <w:r w:rsidRPr="00D40B29">
        <w:rPr>
          <w:rFonts w:ascii="Arial" w:hAnsi="Arial" w:cs="Arial"/>
          <w:u w:val="single"/>
          <w:lang w:val="en-US"/>
        </w:rPr>
        <w:t>-based vs. bendamustine-based strategies</w:t>
      </w:r>
    </w:p>
    <w:p w:rsidR="00D40B29" w:rsidRDefault="00D40B29" w:rsidP="00F566C4">
      <w:pPr>
        <w:spacing w:after="0" w:line="360" w:lineRule="auto"/>
        <w:rPr>
          <w:rFonts w:ascii="Arial" w:hAnsi="Arial" w:cs="Arial"/>
          <w:lang w:val="en-US"/>
        </w:rPr>
      </w:pPr>
    </w:p>
    <w:p w:rsidR="00F566C4" w:rsidRPr="00F566C4" w:rsidRDefault="00F566C4" w:rsidP="00F566C4">
      <w:pPr>
        <w:spacing w:after="0" w:line="360" w:lineRule="auto"/>
        <w:rPr>
          <w:rFonts w:ascii="Arial" w:hAnsi="Arial" w:cs="Arial"/>
          <w:lang w:val="en-US"/>
        </w:rPr>
      </w:pPr>
      <w:r w:rsidRPr="00884D36">
        <w:rPr>
          <w:rFonts w:ascii="Arial" w:hAnsi="Arial" w:cs="Arial"/>
          <w:lang w:val="en-US"/>
        </w:rPr>
        <w:t>Cumulative incidence of solid cancers with anthracycline-based treatments (3.</w:t>
      </w:r>
      <w:r w:rsidR="00884D36" w:rsidRPr="00884D36">
        <w:rPr>
          <w:rFonts w:ascii="Arial" w:hAnsi="Arial" w:cs="Arial"/>
          <w:lang w:val="en-US"/>
        </w:rPr>
        <w:t>3</w:t>
      </w:r>
      <w:r w:rsidRPr="00884D36">
        <w:rPr>
          <w:rFonts w:ascii="Arial" w:hAnsi="Arial" w:cs="Arial"/>
          <w:lang w:val="en-US"/>
        </w:rPr>
        <w:t>% at 5 years, 95%CI 1.</w:t>
      </w:r>
      <w:r w:rsidR="00884D36" w:rsidRPr="00884D36">
        <w:rPr>
          <w:rFonts w:ascii="Arial" w:hAnsi="Arial" w:cs="Arial"/>
          <w:lang w:val="en-US"/>
        </w:rPr>
        <w:t>9</w:t>
      </w:r>
      <w:r w:rsidRPr="00884D36">
        <w:rPr>
          <w:rFonts w:ascii="Arial" w:hAnsi="Arial" w:cs="Arial"/>
          <w:lang w:val="en-US"/>
        </w:rPr>
        <w:t>-5.</w:t>
      </w:r>
      <w:r w:rsidR="00884D36" w:rsidRPr="00884D36">
        <w:rPr>
          <w:rFonts w:ascii="Arial" w:hAnsi="Arial" w:cs="Arial"/>
          <w:lang w:val="en-US"/>
        </w:rPr>
        <w:t>1</w:t>
      </w:r>
      <w:r w:rsidRPr="00884D36">
        <w:rPr>
          <w:rFonts w:ascii="Arial" w:hAnsi="Arial" w:cs="Arial"/>
          <w:lang w:val="en-US"/>
        </w:rPr>
        <w:t xml:space="preserve">%, </w:t>
      </w:r>
      <w:r w:rsidR="00884D36" w:rsidRPr="00884D36">
        <w:rPr>
          <w:rFonts w:ascii="Arial" w:hAnsi="Arial" w:cs="Arial"/>
          <w:lang w:val="en-US"/>
        </w:rPr>
        <w:t xml:space="preserve">red </w:t>
      </w:r>
      <w:r w:rsidRPr="00884D36">
        <w:rPr>
          <w:rFonts w:ascii="Arial" w:hAnsi="Arial" w:cs="Arial"/>
          <w:lang w:val="en-US"/>
        </w:rPr>
        <w:t>line) vs. bendamustine-based treatments (</w:t>
      </w:r>
      <w:r w:rsidR="00884D36" w:rsidRPr="00884D36">
        <w:rPr>
          <w:rFonts w:ascii="Arial" w:hAnsi="Arial" w:cs="Arial"/>
          <w:lang w:val="en-US"/>
        </w:rPr>
        <w:t>9</w:t>
      </w:r>
      <w:r w:rsidRPr="00884D36">
        <w:rPr>
          <w:rFonts w:ascii="Arial" w:hAnsi="Arial" w:cs="Arial"/>
          <w:lang w:val="en-US"/>
        </w:rPr>
        <w:t xml:space="preserve">% at 5 years, 95%CI </w:t>
      </w:r>
      <w:r w:rsidR="00884D36" w:rsidRPr="00884D36">
        <w:rPr>
          <w:rFonts w:ascii="Arial" w:hAnsi="Arial" w:cs="Arial"/>
          <w:lang w:val="en-US"/>
        </w:rPr>
        <w:t>2.6</w:t>
      </w:r>
      <w:r w:rsidRPr="00884D36">
        <w:rPr>
          <w:rFonts w:ascii="Arial" w:hAnsi="Arial" w:cs="Arial"/>
          <w:lang w:val="en-US"/>
        </w:rPr>
        <w:t>-</w:t>
      </w:r>
      <w:r w:rsidR="00884D36" w:rsidRPr="00884D36">
        <w:rPr>
          <w:rFonts w:ascii="Arial" w:hAnsi="Arial" w:cs="Arial"/>
          <w:lang w:val="en-US"/>
        </w:rPr>
        <w:t>20.5</w:t>
      </w:r>
      <w:r w:rsidRPr="00884D36">
        <w:rPr>
          <w:rFonts w:ascii="Arial" w:hAnsi="Arial" w:cs="Arial"/>
          <w:lang w:val="en-US"/>
        </w:rPr>
        <w:t xml:space="preserve">%, </w:t>
      </w:r>
      <w:r w:rsidR="00A07AAC">
        <w:rPr>
          <w:rFonts w:ascii="Arial" w:hAnsi="Arial" w:cs="Arial"/>
          <w:lang w:val="en-US"/>
        </w:rPr>
        <w:t>black</w:t>
      </w:r>
      <w:r w:rsidR="00884D36" w:rsidRPr="00884D36">
        <w:rPr>
          <w:rFonts w:ascii="Arial" w:hAnsi="Arial" w:cs="Arial"/>
          <w:lang w:val="en-US"/>
        </w:rPr>
        <w:t xml:space="preserve"> </w:t>
      </w:r>
      <w:r w:rsidRPr="00884D36">
        <w:rPr>
          <w:rFonts w:ascii="Arial" w:hAnsi="Arial" w:cs="Arial"/>
          <w:lang w:val="en-US"/>
        </w:rPr>
        <w:t>line, p=0.0</w:t>
      </w:r>
      <w:r w:rsidR="00884D36" w:rsidRPr="00884D36">
        <w:rPr>
          <w:rFonts w:ascii="Arial" w:hAnsi="Arial" w:cs="Arial"/>
          <w:lang w:val="en-US"/>
        </w:rPr>
        <w:t>1</w:t>
      </w:r>
      <w:r w:rsidRPr="00884D36">
        <w:rPr>
          <w:rFonts w:ascii="Arial" w:hAnsi="Arial" w:cs="Arial"/>
          <w:lang w:val="en-US"/>
        </w:rPr>
        <w:t>) and competing risks of death (1</w:t>
      </w:r>
      <w:r w:rsidR="00884D36" w:rsidRPr="00884D36">
        <w:rPr>
          <w:rFonts w:ascii="Arial" w:hAnsi="Arial" w:cs="Arial"/>
          <w:lang w:val="en-US"/>
        </w:rPr>
        <w:t>4.5</w:t>
      </w:r>
      <w:r w:rsidRPr="00884D36">
        <w:rPr>
          <w:rFonts w:ascii="Arial" w:hAnsi="Arial" w:cs="Arial"/>
          <w:lang w:val="en-US"/>
        </w:rPr>
        <w:t xml:space="preserve">% at 5 years, 95%CI </w:t>
      </w:r>
      <w:r w:rsidR="00884D36" w:rsidRPr="00884D36">
        <w:rPr>
          <w:rFonts w:ascii="Arial" w:hAnsi="Arial" w:cs="Arial"/>
          <w:lang w:val="en-US"/>
        </w:rPr>
        <w:t>11.6</w:t>
      </w:r>
      <w:r w:rsidRPr="00884D36">
        <w:rPr>
          <w:rFonts w:ascii="Arial" w:hAnsi="Arial" w:cs="Arial"/>
          <w:lang w:val="en-US"/>
        </w:rPr>
        <w:t>-17.</w:t>
      </w:r>
      <w:r w:rsidR="00884D36" w:rsidRPr="00884D36">
        <w:rPr>
          <w:rFonts w:ascii="Arial" w:hAnsi="Arial" w:cs="Arial"/>
          <w:lang w:val="en-US"/>
        </w:rPr>
        <w:t>7</w:t>
      </w:r>
      <w:r w:rsidRPr="00884D36">
        <w:rPr>
          <w:rFonts w:ascii="Arial" w:hAnsi="Arial" w:cs="Arial"/>
          <w:lang w:val="en-US"/>
        </w:rPr>
        <w:t xml:space="preserve">%, </w:t>
      </w:r>
      <w:r w:rsidR="00A07AAC">
        <w:rPr>
          <w:rFonts w:ascii="Arial" w:hAnsi="Arial" w:cs="Arial"/>
          <w:lang w:val="en-US"/>
        </w:rPr>
        <w:t xml:space="preserve">green </w:t>
      </w:r>
      <w:r w:rsidRPr="00884D36">
        <w:rPr>
          <w:rFonts w:ascii="Arial" w:hAnsi="Arial" w:cs="Arial"/>
          <w:lang w:val="en-US"/>
        </w:rPr>
        <w:t>line</w:t>
      </w:r>
      <w:r w:rsidR="00A07AAC">
        <w:rPr>
          <w:rFonts w:ascii="Arial" w:hAnsi="Arial" w:cs="Arial"/>
          <w:lang w:val="en-US"/>
        </w:rPr>
        <w:t>,</w:t>
      </w:r>
      <w:r w:rsidRPr="00884D36">
        <w:rPr>
          <w:rFonts w:ascii="Arial" w:hAnsi="Arial" w:cs="Arial"/>
          <w:lang w:val="en-US"/>
        </w:rPr>
        <w:t xml:space="preserve"> and </w:t>
      </w:r>
      <w:r w:rsidR="00884D36" w:rsidRPr="00884D36">
        <w:rPr>
          <w:rFonts w:ascii="Arial" w:hAnsi="Arial" w:cs="Arial"/>
          <w:lang w:val="en-US"/>
        </w:rPr>
        <w:t>20.9</w:t>
      </w:r>
      <w:r w:rsidRPr="00884D36">
        <w:rPr>
          <w:rFonts w:ascii="Arial" w:hAnsi="Arial" w:cs="Arial"/>
          <w:lang w:val="en-US"/>
        </w:rPr>
        <w:t xml:space="preserve">% at 5 years, 95%CI </w:t>
      </w:r>
      <w:r w:rsidR="00884D36" w:rsidRPr="00884D36">
        <w:rPr>
          <w:rFonts w:ascii="Arial" w:hAnsi="Arial" w:cs="Arial"/>
          <w:lang w:val="en-US"/>
        </w:rPr>
        <w:t>9.7</w:t>
      </w:r>
      <w:r w:rsidRPr="00884D36">
        <w:rPr>
          <w:rFonts w:ascii="Arial" w:hAnsi="Arial" w:cs="Arial"/>
          <w:lang w:val="en-US"/>
        </w:rPr>
        <w:t>-3</w:t>
      </w:r>
      <w:r w:rsidR="00884D36" w:rsidRPr="00884D36">
        <w:rPr>
          <w:rFonts w:ascii="Arial" w:hAnsi="Arial" w:cs="Arial"/>
          <w:lang w:val="en-US"/>
        </w:rPr>
        <w:t>4.9</w:t>
      </w:r>
      <w:r w:rsidRPr="00884D36">
        <w:rPr>
          <w:rFonts w:ascii="Arial" w:hAnsi="Arial" w:cs="Arial"/>
          <w:lang w:val="en-US"/>
        </w:rPr>
        <w:t xml:space="preserve">%, </w:t>
      </w:r>
      <w:r w:rsidR="00A07AAC">
        <w:rPr>
          <w:rFonts w:ascii="Arial" w:hAnsi="Arial" w:cs="Arial"/>
          <w:lang w:val="en-US"/>
        </w:rPr>
        <w:t xml:space="preserve">blue line, </w:t>
      </w:r>
      <w:r w:rsidRPr="00884D36">
        <w:rPr>
          <w:rFonts w:ascii="Arial" w:hAnsi="Arial" w:cs="Arial"/>
          <w:lang w:val="en-US"/>
        </w:rPr>
        <w:t>respectively, p=0.</w:t>
      </w:r>
      <w:r w:rsidR="00884D36" w:rsidRPr="00884D36">
        <w:rPr>
          <w:rFonts w:ascii="Arial" w:hAnsi="Arial" w:cs="Arial"/>
          <w:lang w:val="en-US"/>
        </w:rPr>
        <w:t>07</w:t>
      </w:r>
      <w:r w:rsidRPr="00884D36">
        <w:rPr>
          <w:rFonts w:ascii="Arial" w:hAnsi="Arial" w:cs="Arial"/>
          <w:lang w:val="en-US"/>
        </w:rPr>
        <w:t>).</w:t>
      </w:r>
    </w:p>
    <w:p w:rsidR="00884D36" w:rsidRDefault="00884D36" w:rsidP="00F566C4">
      <w:pPr>
        <w:spacing w:line="360" w:lineRule="auto"/>
        <w:jc w:val="both"/>
        <w:rPr>
          <w:rFonts w:ascii="Arial" w:hAnsi="Arial" w:cs="Arial"/>
          <w:lang w:val="en-US"/>
        </w:rPr>
      </w:pPr>
    </w:p>
    <w:p w:rsidR="00884D36" w:rsidRDefault="00884D36" w:rsidP="00F566C4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eastAsia="es-ES"/>
        </w:rPr>
        <w:drawing>
          <wp:inline distT="0" distB="0" distL="0" distR="0">
            <wp:extent cx="5133975" cy="3974846"/>
            <wp:effectExtent l="0" t="0" r="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4972" cy="3975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6C4" w:rsidRPr="00F566C4" w:rsidRDefault="00F566C4" w:rsidP="00F566C4">
      <w:pPr>
        <w:spacing w:line="360" w:lineRule="auto"/>
        <w:jc w:val="both"/>
        <w:rPr>
          <w:rFonts w:ascii="Arial" w:hAnsi="Arial" w:cs="Arial"/>
          <w:lang w:val="en-US"/>
        </w:rPr>
      </w:pPr>
      <w:r w:rsidRPr="00D40B29">
        <w:rPr>
          <w:rFonts w:ascii="Arial" w:hAnsi="Arial" w:cs="Arial"/>
          <w:u w:val="single"/>
          <w:lang w:val="en-US"/>
        </w:rPr>
        <w:t>Multivariable analysis</w:t>
      </w:r>
      <w:r w:rsidRPr="00F566C4">
        <w:rPr>
          <w:rFonts w:ascii="Arial" w:hAnsi="Arial" w:cs="Arial"/>
          <w:lang w:val="en-US"/>
        </w:rPr>
        <w:t xml:space="preserve"> with age (dichotomic and continuous) and front-line treatment</w:t>
      </w:r>
    </w:p>
    <w:tbl>
      <w:tblPr>
        <w:tblW w:w="9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92"/>
        <w:gridCol w:w="1133"/>
        <w:gridCol w:w="1416"/>
        <w:gridCol w:w="1559"/>
      </w:tblGrid>
      <w:tr w:rsidR="00F566C4" w:rsidRPr="00F566C4" w:rsidTr="00A82562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HR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95%CI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P value</w:t>
            </w:r>
          </w:p>
        </w:tc>
      </w:tr>
      <w:tr w:rsidR="00F566C4" w:rsidRPr="00F566C4" w:rsidTr="00A82562">
        <w:trPr>
          <w:trHeight w:val="11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Bendamustine-based front-line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2.48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0.92-6.67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0.072</w:t>
            </w:r>
          </w:p>
        </w:tc>
      </w:tr>
      <w:tr w:rsidR="00F566C4" w:rsidRPr="00F566C4" w:rsidTr="00A82562">
        <w:trPr>
          <w:trHeight w:val="11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Age at diagnosis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1.061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1.03-1.09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0.0002</w:t>
            </w:r>
          </w:p>
        </w:tc>
      </w:tr>
    </w:tbl>
    <w:p w:rsidR="00F566C4" w:rsidRPr="00F566C4" w:rsidRDefault="00F566C4" w:rsidP="00F566C4">
      <w:pPr>
        <w:ind w:left="-426"/>
        <w:rPr>
          <w:rFonts w:ascii="Arial" w:hAnsi="Arial" w:cs="Arial"/>
        </w:rPr>
      </w:pPr>
    </w:p>
    <w:tbl>
      <w:tblPr>
        <w:tblW w:w="9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92"/>
        <w:gridCol w:w="1133"/>
        <w:gridCol w:w="1416"/>
        <w:gridCol w:w="1559"/>
      </w:tblGrid>
      <w:tr w:rsidR="00F566C4" w:rsidRPr="00F566C4" w:rsidTr="00A82562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HR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95%CI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P value</w:t>
            </w:r>
          </w:p>
        </w:tc>
      </w:tr>
      <w:tr w:rsidR="00F566C4" w:rsidRPr="00F566C4" w:rsidTr="00A82562">
        <w:trPr>
          <w:trHeight w:val="11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Bendamustine-based front-line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2.67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1.00-7.12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0.0497</w:t>
            </w:r>
          </w:p>
        </w:tc>
      </w:tr>
      <w:tr w:rsidR="00F566C4" w:rsidRPr="00F566C4" w:rsidTr="00A82562">
        <w:trPr>
          <w:trHeight w:val="11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Age ≥ 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3.4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1.73-6.79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6C4" w:rsidRPr="00F566C4" w:rsidRDefault="00F566C4" w:rsidP="00F566C4">
            <w:pPr>
              <w:spacing w:after="0" w:line="360" w:lineRule="auto"/>
              <w:jc w:val="both"/>
              <w:rPr>
                <w:rFonts w:ascii="Arial" w:hAnsi="Arial" w:cs="Arial"/>
                <w:sz w:val="18"/>
                <w:lang w:val="en-US"/>
              </w:rPr>
            </w:pPr>
            <w:r w:rsidRPr="00F566C4">
              <w:rPr>
                <w:rFonts w:ascii="Arial" w:hAnsi="Arial" w:cs="Arial"/>
                <w:sz w:val="18"/>
                <w:lang w:val="en-US"/>
              </w:rPr>
              <w:t>0.00039</w:t>
            </w:r>
          </w:p>
        </w:tc>
      </w:tr>
    </w:tbl>
    <w:p w:rsidR="00F566C4" w:rsidRDefault="00F566C4" w:rsidP="00F566C4">
      <w:pPr>
        <w:ind w:left="-426"/>
        <w:rPr>
          <w:rFonts w:ascii="Arial" w:hAnsi="Arial" w:cs="Arial"/>
        </w:rPr>
      </w:pPr>
    </w:p>
    <w:p w:rsidR="00D40B29" w:rsidRDefault="00D40B29" w:rsidP="00F566C4">
      <w:pPr>
        <w:ind w:left="-426"/>
        <w:rPr>
          <w:rFonts w:ascii="Arial" w:hAnsi="Arial" w:cs="Arial"/>
        </w:rPr>
      </w:pPr>
    </w:p>
    <w:p w:rsidR="00A07AAC" w:rsidRPr="00D40B29" w:rsidRDefault="00A07AAC" w:rsidP="00F566C4">
      <w:pPr>
        <w:ind w:left="-426"/>
        <w:rPr>
          <w:rFonts w:ascii="Arial" w:hAnsi="Arial" w:cs="Arial"/>
          <w:u w:val="single"/>
          <w:lang w:val="en-US"/>
        </w:rPr>
      </w:pPr>
      <w:r w:rsidRPr="00D40B29">
        <w:rPr>
          <w:rFonts w:ascii="Arial" w:hAnsi="Arial" w:cs="Arial"/>
          <w:u w:val="single"/>
          <w:lang w:val="en-US"/>
        </w:rPr>
        <w:lastRenderedPageBreak/>
        <w:t xml:space="preserve">Use of </w:t>
      </w:r>
      <w:proofErr w:type="spellStart"/>
      <w:r w:rsidRPr="00D40B29">
        <w:rPr>
          <w:rFonts w:ascii="Arial" w:hAnsi="Arial" w:cs="Arial"/>
          <w:u w:val="single"/>
          <w:lang w:val="en-US"/>
        </w:rPr>
        <w:t>Rituximab</w:t>
      </w:r>
      <w:proofErr w:type="spellEnd"/>
    </w:p>
    <w:p w:rsidR="00A07AAC" w:rsidRDefault="00A07AAC" w:rsidP="00A07AAC">
      <w:pPr>
        <w:spacing w:after="0" w:line="360" w:lineRule="auto"/>
        <w:rPr>
          <w:rFonts w:ascii="Arial" w:hAnsi="Arial" w:cs="Arial"/>
          <w:lang w:val="en-US"/>
        </w:rPr>
      </w:pPr>
      <w:r w:rsidRPr="00884D36">
        <w:rPr>
          <w:rFonts w:ascii="Arial" w:hAnsi="Arial" w:cs="Arial"/>
          <w:lang w:val="en-US"/>
        </w:rPr>
        <w:t>Cumulative incidence of solid cancers with</w:t>
      </w:r>
      <w:r>
        <w:rPr>
          <w:rFonts w:ascii="Arial" w:hAnsi="Arial" w:cs="Arial"/>
          <w:lang w:val="en-US"/>
        </w:rPr>
        <w:t xml:space="preserve"> rituximab-containing front-line</w:t>
      </w:r>
      <w:r w:rsidRPr="00884D36">
        <w:rPr>
          <w:rFonts w:ascii="Arial" w:hAnsi="Arial" w:cs="Arial"/>
          <w:lang w:val="en-US"/>
        </w:rPr>
        <w:t xml:space="preserve"> (</w:t>
      </w:r>
      <w:r>
        <w:rPr>
          <w:rFonts w:ascii="Arial" w:hAnsi="Arial" w:cs="Arial"/>
          <w:lang w:val="en-US"/>
        </w:rPr>
        <w:t>4</w:t>
      </w:r>
      <w:r w:rsidRPr="00884D36">
        <w:rPr>
          <w:rFonts w:ascii="Arial" w:hAnsi="Arial" w:cs="Arial"/>
          <w:lang w:val="en-US"/>
        </w:rPr>
        <w:t xml:space="preserve">% at 5 years, 95%CI </w:t>
      </w:r>
      <w:r>
        <w:rPr>
          <w:rFonts w:ascii="Arial" w:hAnsi="Arial" w:cs="Arial"/>
          <w:lang w:val="en-US"/>
        </w:rPr>
        <w:t>3</w:t>
      </w:r>
      <w:r w:rsidRPr="00884D36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8.4</w:t>
      </w:r>
      <w:r w:rsidRPr="00884D36">
        <w:rPr>
          <w:rFonts w:ascii="Arial" w:hAnsi="Arial" w:cs="Arial"/>
          <w:lang w:val="en-US"/>
        </w:rPr>
        <w:t xml:space="preserve">%, red line) vs. </w:t>
      </w:r>
      <w:r>
        <w:rPr>
          <w:rFonts w:ascii="Arial" w:hAnsi="Arial" w:cs="Arial"/>
          <w:lang w:val="en-US"/>
        </w:rPr>
        <w:t xml:space="preserve">non-rituximab-containing front-line strategies </w:t>
      </w:r>
      <w:r w:rsidRPr="00884D36">
        <w:rPr>
          <w:rFonts w:ascii="Arial" w:hAnsi="Arial" w:cs="Arial"/>
          <w:lang w:val="en-US"/>
        </w:rPr>
        <w:t>(</w:t>
      </w:r>
      <w:r>
        <w:rPr>
          <w:rFonts w:ascii="Arial" w:hAnsi="Arial" w:cs="Arial"/>
          <w:lang w:val="en-US"/>
        </w:rPr>
        <w:t>4%</w:t>
      </w:r>
      <w:r w:rsidRPr="00884D36">
        <w:rPr>
          <w:rFonts w:ascii="Arial" w:hAnsi="Arial" w:cs="Arial"/>
          <w:lang w:val="en-US"/>
        </w:rPr>
        <w:t xml:space="preserve"> at 5 years, 95%CI 2.6-5</w:t>
      </w:r>
      <w:r>
        <w:rPr>
          <w:rFonts w:ascii="Arial" w:hAnsi="Arial" w:cs="Arial"/>
          <w:lang w:val="en-US"/>
        </w:rPr>
        <w:t>.7</w:t>
      </w:r>
      <w:r w:rsidRPr="00884D36">
        <w:rPr>
          <w:rFonts w:ascii="Arial" w:hAnsi="Arial" w:cs="Arial"/>
          <w:lang w:val="en-US"/>
        </w:rPr>
        <w:t xml:space="preserve">%, </w:t>
      </w:r>
      <w:r>
        <w:rPr>
          <w:rFonts w:ascii="Arial" w:hAnsi="Arial" w:cs="Arial"/>
          <w:lang w:val="en-US"/>
        </w:rPr>
        <w:t xml:space="preserve">black </w:t>
      </w:r>
      <w:r w:rsidRPr="00884D36">
        <w:rPr>
          <w:rFonts w:ascii="Arial" w:hAnsi="Arial" w:cs="Arial"/>
          <w:lang w:val="en-US"/>
        </w:rPr>
        <w:t>line, p=0.</w:t>
      </w:r>
      <w:r>
        <w:rPr>
          <w:rFonts w:ascii="Arial" w:hAnsi="Arial" w:cs="Arial"/>
          <w:lang w:val="en-US"/>
        </w:rPr>
        <w:t>71</w:t>
      </w:r>
      <w:r w:rsidRPr="00884D36">
        <w:rPr>
          <w:rFonts w:ascii="Arial" w:hAnsi="Arial" w:cs="Arial"/>
          <w:lang w:val="en-US"/>
        </w:rPr>
        <w:t>) and competing risks of death (1</w:t>
      </w:r>
      <w:r>
        <w:rPr>
          <w:rFonts w:ascii="Arial" w:hAnsi="Arial" w:cs="Arial"/>
          <w:lang w:val="en-US"/>
        </w:rPr>
        <w:t>5</w:t>
      </w:r>
      <w:r w:rsidRPr="00884D36">
        <w:rPr>
          <w:rFonts w:ascii="Arial" w:hAnsi="Arial" w:cs="Arial"/>
          <w:lang w:val="en-US"/>
        </w:rPr>
        <w:t>% at 5 years, 95%CI 1</w:t>
      </w:r>
      <w:r>
        <w:rPr>
          <w:rFonts w:ascii="Arial" w:hAnsi="Arial" w:cs="Arial"/>
          <w:lang w:val="en-US"/>
        </w:rPr>
        <w:t>2.3</w:t>
      </w:r>
      <w:r w:rsidRPr="00884D36">
        <w:rPr>
          <w:rFonts w:ascii="Arial" w:hAnsi="Arial" w:cs="Arial"/>
          <w:lang w:val="en-US"/>
        </w:rPr>
        <w:t>-1</w:t>
      </w:r>
      <w:r>
        <w:rPr>
          <w:rFonts w:ascii="Arial" w:hAnsi="Arial" w:cs="Arial"/>
          <w:lang w:val="en-US"/>
        </w:rPr>
        <w:t>8</w:t>
      </w:r>
      <w:r w:rsidRPr="00884D36">
        <w:rPr>
          <w:rFonts w:ascii="Arial" w:hAnsi="Arial" w:cs="Arial"/>
          <w:lang w:val="en-US"/>
        </w:rPr>
        <w:t xml:space="preserve">%, </w:t>
      </w:r>
      <w:r>
        <w:rPr>
          <w:rFonts w:ascii="Arial" w:hAnsi="Arial" w:cs="Arial"/>
          <w:lang w:val="en-US"/>
        </w:rPr>
        <w:t xml:space="preserve">blue </w:t>
      </w:r>
      <w:r w:rsidRPr="00884D36">
        <w:rPr>
          <w:rFonts w:ascii="Arial" w:hAnsi="Arial" w:cs="Arial"/>
          <w:lang w:val="en-US"/>
        </w:rPr>
        <w:t xml:space="preserve">line and </w:t>
      </w:r>
      <w:r>
        <w:rPr>
          <w:rFonts w:ascii="Arial" w:hAnsi="Arial" w:cs="Arial"/>
          <w:lang w:val="en-US"/>
        </w:rPr>
        <w:t>18.1</w:t>
      </w:r>
      <w:r w:rsidRPr="00884D36">
        <w:rPr>
          <w:rFonts w:ascii="Arial" w:hAnsi="Arial" w:cs="Arial"/>
          <w:lang w:val="en-US"/>
        </w:rPr>
        <w:t xml:space="preserve">% at 5 years, 95%CI </w:t>
      </w:r>
      <w:r>
        <w:rPr>
          <w:rFonts w:ascii="Arial" w:hAnsi="Arial" w:cs="Arial"/>
          <w:lang w:val="en-US"/>
        </w:rPr>
        <w:t>13.8</w:t>
      </w:r>
      <w:r w:rsidRPr="00884D36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22.</w:t>
      </w:r>
      <w:r w:rsidRPr="00884D36">
        <w:rPr>
          <w:rFonts w:ascii="Arial" w:hAnsi="Arial" w:cs="Arial"/>
          <w:lang w:val="en-US"/>
        </w:rPr>
        <w:t xml:space="preserve">9%, </w:t>
      </w:r>
      <w:r w:rsidR="00431FA5">
        <w:rPr>
          <w:rFonts w:ascii="Arial" w:hAnsi="Arial" w:cs="Arial"/>
          <w:lang w:val="en-US"/>
        </w:rPr>
        <w:t xml:space="preserve">green line, </w:t>
      </w:r>
      <w:r w:rsidRPr="00884D36">
        <w:rPr>
          <w:rFonts w:ascii="Arial" w:hAnsi="Arial" w:cs="Arial"/>
          <w:lang w:val="en-US"/>
        </w:rPr>
        <w:t>respectively, p=0.7</w:t>
      </w:r>
      <w:r>
        <w:rPr>
          <w:rFonts w:ascii="Arial" w:hAnsi="Arial" w:cs="Arial"/>
          <w:lang w:val="en-US"/>
        </w:rPr>
        <w:t>6</w:t>
      </w:r>
      <w:r w:rsidRPr="00884D36">
        <w:rPr>
          <w:rFonts w:ascii="Arial" w:hAnsi="Arial" w:cs="Arial"/>
          <w:lang w:val="en-US"/>
        </w:rPr>
        <w:t>).</w:t>
      </w:r>
      <w:r>
        <w:rPr>
          <w:rFonts w:ascii="Arial" w:hAnsi="Arial" w:cs="Arial"/>
          <w:noProof/>
          <w:lang w:eastAsia="es-ES"/>
        </w:rPr>
        <w:drawing>
          <wp:inline distT="0" distB="0" distL="0" distR="0">
            <wp:extent cx="5391150" cy="424815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24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AAC" w:rsidRDefault="00A07AAC" w:rsidP="00A07AAC">
      <w:pPr>
        <w:spacing w:after="0" w:line="360" w:lineRule="auto"/>
        <w:rPr>
          <w:rFonts w:ascii="Arial" w:hAnsi="Arial" w:cs="Arial"/>
          <w:lang w:val="en-US"/>
        </w:rPr>
      </w:pPr>
    </w:p>
    <w:p w:rsidR="00D40B29" w:rsidRDefault="00D40B2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p w:rsidR="00A07AAC" w:rsidRDefault="00A07AAC" w:rsidP="00A07AAC">
      <w:pPr>
        <w:spacing w:after="0" w:line="360" w:lineRule="auto"/>
        <w:rPr>
          <w:rFonts w:ascii="Arial" w:hAnsi="Arial" w:cs="Arial"/>
          <w:lang w:val="en-US"/>
        </w:rPr>
      </w:pPr>
      <w:bookmarkStart w:id="0" w:name="_GoBack"/>
      <w:bookmarkEnd w:id="0"/>
      <w:r w:rsidRPr="00884D36">
        <w:rPr>
          <w:rFonts w:ascii="Arial" w:hAnsi="Arial" w:cs="Arial"/>
          <w:lang w:val="en-US"/>
        </w:rPr>
        <w:lastRenderedPageBreak/>
        <w:t>Cumulative incidence of solid cancers with</w:t>
      </w:r>
      <w:r>
        <w:rPr>
          <w:rFonts w:ascii="Arial" w:hAnsi="Arial" w:cs="Arial"/>
          <w:lang w:val="en-US"/>
        </w:rPr>
        <w:t xml:space="preserve"> use of rituximab maintenance after front-line</w:t>
      </w:r>
      <w:r w:rsidRPr="00884D36">
        <w:rPr>
          <w:rFonts w:ascii="Arial" w:hAnsi="Arial" w:cs="Arial"/>
          <w:lang w:val="en-US"/>
        </w:rPr>
        <w:t xml:space="preserve"> (</w:t>
      </w:r>
      <w:r>
        <w:rPr>
          <w:rFonts w:ascii="Arial" w:hAnsi="Arial" w:cs="Arial"/>
          <w:lang w:val="en-US"/>
        </w:rPr>
        <w:t>3.5</w:t>
      </w:r>
      <w:r w:rsidRPr="00884D36">
        <w:rPr>
          <w:rFonts w:ascii="Arial" w:hAnsi="Arial" w:cs="Arial"/>
          <w:lang w:val="en-US"/>
        </w:rPr>
        <w:t xml:space="preserve">% at 5 years, 95%CI </w:t>
      </w:r>
      <w:r>
        <w:rPr>
          <w:rFonts w:ascii="Arial" w:hAnsi="Arial" w:cs="Arial"/>
          <w:lang w:val="en-US"/>
        </w:rPr>
        <w:t>1.5-6.9</w:t>
      </w:r>
      <w:r w:rsidRPr="00884D36">
        <w:rPr>
          <w:rFonts w:ascii="Arial" w:hAnsi="Arial" w:cs="Arial"/>
          <w:lang w:val="en-US"/>
        </w:rPr>
        <w:t xml:space="preserve">%, red line) vs. </w:t>
      </w:r>
      <w:r>
        <w:rPr>
          <w:rFonts w:ascii="Arial" w:hAnsi="Arial" w:cs="Arial"/>
          <w:lang w:val="en-US"/>
        </w:rPr>
        <w:t xml:space="preserve">no maintenance </w:t>
      </w:r>
      <w:r w:rsidRPr="00884D36">
        <w:rPr>
          <w:rFonts w:ascii="Arial" w:hAnsi="Arial" w:cs="Arial"/>
          <w:lang w:val="en-US"/>
        </w:rPr>
        <w:t>(</w:t>
      </w:r>
      <w:r>
        <w:rPr>
          <w:rFonts w:ascii="Arial" w:hAnsi="Arial" w:cs="Arial"/>
          <w:lang w:val="en-US"/>
        </w:rPr>
        <w:t>4.6%</w:t>
      </w:r>
      <w:r w:rsidRPr="00884D36">
        <w:rPr>
          <w:rFonts w:ascii="Arial" w:hAnsi="Arial" w:cs="Arial"/>
          <w:lang w:val="en-US"/>
        </w:rPr>
        <w:t xml:space="preserve"> at 5 years, 95%CI </w:t>
      </w:r>
      <w:r>
        <w:rPr>
          <w:rFonts w:ascii="Arial" w:hAnsi="Arial" w:cs="Arial"/>
          <w:lang w:val="en-US"/>
        </w:rPr>
        <w:t>3.2-6.4</w:t>
      </w:r>
      <w:r w:rsidRPr="00884D36">
        <w:rPr>
          <w:rFonts w:ascii="Arial" w:hAnsi="Arial" w:cs="Arial"/>
          <w:lang w:val="en-US"/>
        </w:rPr>
        <w:t xml:space="preserve">%, </w:t>
      </w:r>
      <w:r>
        <w:rPr>
          <w:rFonts w:ascii="Arial" w:hAnsi="Arial" w:cs="Arial"/>
          <w:lang w:val="en-US"/>
        </w:rPr>
        <w:t xml:space="preserve">black </w:t>
      </w:r>
      <w:r w:rsidRPr="00884D36">
        <w:rPr>
          <w:rFonts w:ascii="Arial" w:hAnsi="Arial" w:cs="Arial"/>
          <w:lang w:val="en-US"/>
        </w:rPr>
        <w:t>line, p=0.</w:t>
      </w:r>
      <w:r>
        <w:rPr>
          <w:rFonts w:ascii="Arial" w:hAnsi="Arial" w:cs="Arial"/>
          <w:lang w:val="en-US"/>
        </w:rPr>
        <w:t>34</w:t>
      </w:r>
      <w:r w:rsidRPr="00884D36">
        <w:rPr>
          <w:rFonts w:ascii="Arial" w:hAnsi="Arial" w:cs="Arial"/>
          <w:lang w:val="en-US"/>
        </w:rPr>
        <w:t>) and competing risks of death (1</w:t>
      </w:r>
      <w:r>
        <w:rPr>
          <w:rFonts w:ascii="Arial" w:hAnsi="Arial" w:cs="Arial"/>
          <w:lang w:val="en-US"/>
        </w:rPr>
        <w:t>3</w:t>
      </w:r>
      <w:r w:rsidRPr="00884D36">
        <w:rPr>
          <w:rFonts w:ascii="Arial" w:hAnsi="Arial" w:cs="Arial"/>
          <w:lang w:val="en-US"/>
        </w:rPr>
        <w:t xml:space="preserve">% at 5 years, 95%CI </w:t>
      </w:r>
      <w:r>
        <w:rPr>
          <w:rFonts w:ascii="Arial" w:hAnsi="Arial" w:cs="Arial"/>
          <w:lang w:val="en-US"/>
        </w:rPr>
        <w:t>8.7</w:t>
      </w:r>
      <w:r w:rsidRPr="00884D36">
        <w:rPr>
          <w:rFonts w:ascii="Arial" w:hAnsi="Arial" w:cs="Arial"/>
          <w:lang w:val="en-US"/>
        </w:rPr>
        <w:t>-1</w:t>
      </w:r>
      <w:r>
        <w:rPr>
          <w:rFonts w:ascii="Arial" w:hAnsi="Arial" w:cs="Arial"/>
          <w:lang w:val="en-US"/>
        </w:rPr>
        <w:t>8.2</w:t>
      </w:r>
      <w:r w:rsidRPr="00884D36">
        <w:rPr>
          <w:rFonts w:ascii="Arial" w:hAnsi="Arial" w:cs="Arial"/>
          <w:lang w:val="en-US"/>
        </w:rPr>
        <w:t xml:space="preserve">%, </w:t>
      </w:r>
      <w:r>
        <w:rPr>
          <w:rFonts w:ascii="Arial" w:hAnsi="Arial" w:cs="Arial"/>
          <w:lang w:val="en-US"/>
        </w:rPr>
        <w:t xml:space="preserve">blue </w:t>
      </w:r>
      <w:r w:rsidRPr="00884D36">
        <w:rPr>
          <w:rFonts w:ascii="Arial" w:hAnsi="Arial" w:cs="Arial"/>
          <w:lang w:val="en-US"/>
        </w:rPr>
        <w:t xml:space="preserve">line and </w:t>
      </w:r>
      <w:r>
        <w:rPr>
          <w:rFonts w:ascii="Arial" w:hAnsi="Arial" w:cs="Arial"/>
          <w:lang w:val="en-US"/>
        </w:rPr>
        <w:t>17</w:t>
      </w:r>
      <w:r w:rsidRPr="00884D36">
        <w:rPr>
          <w:rFonts w:ascii="Arial" w:hAnsi="Arial" w:cs="Arial"/>
          <w:lang w:val="en-US"/>
        </w:rPr>
        <w:t xml:space="preserve">% at 5 years, 95%CI </w:t>
      </w:r>
      <w:r>
        <w:rPr>
          <w:rFonts w:ascii="Arial" w:hAnsi="Arial" w:cs="Arial"/>
          <w:lang w:val="en-US"/>
        </w:rPr>
        <w:t>14.3</w:t>
      </w:r>
      <w:r w:rsidRPr="00884D36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19.</w:t>
      </w:r>
      <w:r w:rsidRPr="00884D36">
        <w:rPr>
          <w:rFonts w:ascii="Arial" w:hAnsi="Arial" w:cs="Arial"/>
          <w:lang w:val="en-US"/>
        </w:rPr>
        <w:t xml:space="preserve">9%, </w:t>
      </w:r>
      <w:r w:rsidR="00431FA5">
        <w:rPr>
          <w:rFonts w:ascii="Arial" w:hAnsi="Arial" w:cs="Arial"/>
          <w:lang w:val="en-US"/>
        </w:rPr>
        <w:t xml:space="preserve">green line, </w:t>
      </w:r>
      <w:r w:rsidRPr="00884D36">
        <w:rPr>
          <w:rFonts w:ascii="Arial" w:hAnsi="Arial" w:cs="Arial"/>
          <w:lang w:val="en-US"/>
        </w:rPr>
        <w:t>respectively, p=0.</w:t>
      </w:r>
      <w:r>
        <w:rPr>
          <w:rFonts w:ascii="Arial" w:hAnsi="Arial" w:cs="Arial"/>
          <w:lang w:val="en-US"/>
        </w:rPr>
        <w:t>38</w:t>
      </w:r>
      <w:r w:rsidRPr="00884D36">
        <w:rPr>
          <w:rFonts w:ascii="Arial" w:hAnsi="Arial" w:cs="Arial"/>
          <w:lang w:val="en-US"/>
        </w:rPr>
        <w:t>).</w:t>
      </w:r>
    </w:p>
    <w:p w:rsidR="00A07AAC" w:rsidRPr="00F566C4" w:rsidRDefault="00A07AAC" w:rsidP="00A07AAC">
      <w:pPr>
        <w:spacing w:after="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eastAsia="es-ES"/>
        </w:rPr>
        <w:drawing>
          <wp:inline distT="0" distB="0" distL="0" distR="0">
            <wp:extent cx="5400675" cy="4105275"/>
            <wp:effectExtent l="0" t="0" r="9525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6C4" w:rsidRPr="00F566C4" w:rsidRDefault="00F566C4" w:rsidP="00F566C4">
      <w:pPr>
        <w:rPr>
          <w:rFonts w:ascii="Arial" w:hAnsi="Arial" w:cs="Arial"/>
        </w:rPr>
      </w:pPr>
    </w:p>
    <w:p w:rsidR="000456DA" w:rsidRPr="00F566C4" w:rsidRDefault="000456DA" w:rsidP="00C53AA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lang w:val="en-US"/>
        </w:rPr>
      </w:pPr>
    </w:p>
    <w:p w:rsidR="000456DA" w:rsidRPr="00F566C4" w:rsidRDefault="000456DA" w:rsidP="00C53AA3">
      <w:pPr>
        <w:spacing w:after="0" w:line="360" w:lineRule="auto"/>
        <w:rPr>
          <w:rFonts w:ascii="Arial" w:hAnsi="Arial" w:cs="Arial"/>
          <w:lang w:val="en-US"/>
        </w:rPr>
      </w:pPr>
    </w:p>
    <w:sectPr w:rsidR="000456DA" w:rsidRPr="00F566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6DA"/>
    <w:rsid w:val="000456DA"/>
    <w:rsid w:val="00111E34"/>
    <w:rsid w:val="00431FA5"/>
    <w:rsid w:val="00884D36"/>
    <w:rsid w:val="00A07AAC"/>
    <w:rsid w:val="00A30EE5"/>
    <w:rsid w:val="00B5353B"/>
    <w:rsid w:val="00C53AA3"/>
    <w:rsid w:val="00D40B29"/>
    <w:rsid w:val="00DC72AA"/>
    <w:rsid w:val="00F5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111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111E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111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111E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0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408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 UTELT2B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HUGTIP</dc:creator>
  <cp:lastModifiedBy>47889858v</cp:lastModifiedBy>
  <cp:revision>4</cp:revision>
  <dcterms:created xsi:type="dcterms:W3CDTF">2019-06-28T09:31:00Z</dcterms:created>
  <dcterms:modified xsi:type="dcterms:W3CDTF">2019-06-28T09:34:00Z</dcterms:modified>
</cp:coreProperties>
</file>